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1ACF" w14:textId="57D846CC" w:rsidR="00CE0042" w:rsidRPr="00CE0042" w:rsidRDefault="00CE0042" w:rsidP="00CE0042">
      <w:pPr>
        <w:spacing w:before="0"/>
        <w:jc w:val="right"/>
        <w:rPr>
          <w:b/>
          <w:caps/>
          <w:sz w:val="28"/>
        </w:rPr>
      </w:pPr>
      <w:bookmarkStart w:id="0" w:name="_Hlk50995294"/>
      <w:r w:rsidRPr="00CE0042">
        <w:rPr>
          <w:b/>
          <w:caps/>
          <w:sz w:val="28"/>
        </w:rPr>
        <w:t>ПРИЛОЖЕНИЕ №</w:t>
      </w:r>
      <w:r w:rsidR="00F12B8E">
        <w:rPr>
          <w:b/>
          <w:caps/>
          <w:sz w:val="28"/>
        </w:rPr>
        <w:t>7</w:t>
      </w:r>
      <w:bookmarkStart w:id="1" w:name="_GoBack"/>
      <w:bookmarkEnd w:id="1"/>
    </w:p>
    <w:p w14:paraId="7A896526" w14:textId="2CE6CEBC" w:rsidR="00F6485B" w:rsidRDefault="00AA7BE7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  <w:bookmarkEnd w:id="0"/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D44B4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D44B4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D44B4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D44B4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D44B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77777777"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77777777"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77777777"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>Организации Группы РусГидро</w:t>
            </w:r>
          </w:p>
        </w:tc>
        <w:tc>
          <w:tcPr>
            <w:tcW w:w="425" w:type="dxa"/>
          </w:tcPr>
          <w:p w14:paraId="6C37D3F1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CAC654" w14:textId="77777777"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осуществляет полномочия управления в соответствии </w:t>
            </w:r>
            <w:r w:rsidRPr="00CB5DBA">
              <w:lastRenderedPageBreak/>
              <w:t>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25849110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25849111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77777777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77777777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25849112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25849113"/>
      <w:r w:rsidRPr="00B12C30">
        <w:t>Общие положения</w:t>
      </w:r>
      <w:bookmarkEnd w:id="8"/>
    </w:p>
    <w:p w14:paraId="72E32D4A" w14:textId="77777777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1FC00DF3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25E3EEA8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34477288" w14:textId="77777777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34019A88" w14:textId="77777777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3C92260D" w14:textId="77777777" w:rsidR="002D291B" w:rsidRPr="00B12C30" w:rsidRDefault="00E34958" w:rsidP="00C63CAC">
      <w:pPr>
        <w:pStyle w:val="11"/>
      </w:pPr>
      <w:bookmarkStart w:id="9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77777777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77777777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77777777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25849115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7777777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25849116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77777777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77777777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77777777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25849117"/>
      <w:r>
        <w:t>Ограничивающие факторы</w:t>
      </w:r>
      <w:bookmarkEnd w:id="19"/>
      <w:bookmarkEnd w:id="20"/>
      <w:bookmarkEnd w:id="21"/>
      <w:bookmarkEnd w:id="22"/>
    </w:p>
    <w:p w14:paraId="418479DE" w14:textId="77777777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77777777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6DD93182" w14:textId="77777777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25849118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6ED521CF" w14:textId="77777777" w:rsidR="00AE1E95" w:rsidRPr="000E3801" w:rsidRDefault="00AE1E95" w:rsidP="00513524">
      <w:pPr>
        <w:pStyle w:val="111"/>
        <w:keepNext/>
      </w:pPr>
      <w:bookmarkStart w:id="30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30"/>
    </w:p>
    <w:p w14:paraId="017EE928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31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31"/>
    </w:p>
    <w:p w14:paraId="7CC346D2" w14:textId="77777777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A80D555" w14:textId="77777777" w:rsidR="008762B7" w:rsidRPr="000E3801" w:rsidRDefault="008762B7" w:rsidP="001E485A">
      <w:pPr>
        <w:pStyle w:val="a"/>
        <w:numPr>
          <w:ilvl w:val="3"/>
          <w:numId w:val="9"/>
        </w:numPr>
      </w:pPr>
      <w:bookmarkStart w:id="32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2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B850A99" w14:textId="77777777" w:rsidR="00F64C6D" w:rsidRDefault="00B95BAA" w:rsidP="00F64C6D">
      <w:pPr>
        <w:pStyle w:val="111"/>
        <w:keepNext/>
      </w:pPr>
      <w:bookmarkStart w:id="33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3"/>
    </w:p>
    <w:p w14:paraId="69F47EEC" w14:textId="77777777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63B620F0" w14:textId="77777777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5D1A8508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FB2E72D" w14:textId="77777777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D5B8EE0" w14:textId="77777777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7C850602" w14:textId="77777777" w:rsidR="006A36AB" w:rsidRDefault="006A36AB" w:rsidP="00F2520A">
      <w:pPr>
        <w:pStyle w:val="a"/>
        <w:numPr>
          <w:ilvl w:val="3"/>
          <w:numId w:val="11"/>
        </w:numPr>
      </w:pPr>
      <w:bookmarkStart w:id="34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4"/>
    </w:p>
    <w:p w14:paraId="1644646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8CB9535" w14:textId="77777777" w:rsidR="00513524" w:rsidRDefault="00513524" w:rsidP="00513524">
      <w:pPr>
        <w:pStyle w:val="111"/>
        <w:keepNext/>
      </w:pPr>
      <w:bookmarkStart w:id="35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5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77777777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77777777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77777777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6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6"/>
    </w:p>
    <w:p w14:paraId="0C8589FE" w14:textId="77777777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77777777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7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8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7"/>
      <w:bookmarkEnd w:id="38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D44B4A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7921656" w14:textId="77777777" w:rsidTr="000B30C4">
        <w:trPr>
          <w:cantSplit/>
        </w:trPr>
        <w:tc>
          <w:tcPr>
            <w:tcW w:w="1751" w:type="dxa"/>
            <w:vAlign w:val="center"/>
          </w:tcPr>
          <w:p w14:paraId="240470A3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5961EDFC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1CF3D569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514ED018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1A6FD77B" w14:textId="77777777" w:rsidR="00513524" w:rsidRDefault="00A1147D" w:rsidP="009E0782">
      <w:pPr>
        <w:pStyle w:val="111"/>
        <w:keepNext/>
      </w:pPr>
      <w:bookmarkStart w:id="39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9"/>
    </w:p>
    <w:p w14:paraId="4FAA5549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0CCC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55E2957D" w14:textId="77777777" w:rsidR="00513524" w:rsidRPr="000E3801" w:rsidRDefault="00B96FD6" w:rsidP="000810B7">
      <w:pPr>
        <w:pStyle w:val="111"/>
      </w:pPr>
      <w:bookmarkStart w:id="40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40"/>
    </w:p>
    <w:p w14:paraId="708DC8E7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2B50AD36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1" w:name="_Hlk50997483"/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2" w:name="_Ref52882056"/>
            <w:r w:rsidR="007B01F6">
              <w:rPr>
                <w:rStyle w:val="af2"/>
                <w:sz w:val="18"/>
                <w:szCs w:val="18"/>
              </w:rPr>
              <w:footnoteReference w:id="6"/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7B735569" w14:textId="2EF46818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3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3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4" w:name="_Ref456627771"/>
      <w:bookmarkEnd w:id="4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5" w:name="_Ref471818978"/>
      <w:bookmarkStart w:id="46" w:name="_Toc25849119"/>
    </w:p>
    <w:p w14:paraId="70C456EB" w14:textId="4934F316" w:rsidR="00DC2CA2" w:rsidRPr="00EF4D89" w:rsidRDefault="00EF4D89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EF4D89">
        <w:rPr>
          <w:b/>
          <w:bCs/>
          <w:i/>
          <w:sz w:val="22"/>
          <w:szCs w:val="22"/>
          <w:highlight w:val="yellow"/>
        </w:rPr>
        <w:t>[</w:t>
      </w:r>
      <w:r>
        <w:rPr>
          <w:b/>
          <w:bCs/>
          <w:i/>
          <w:sz w:val="22"/>
          <w:szCs w:val="22"/>
          <w:highlight w:val="yellow"/>
        </w:rPr>
        <w:t>Перед публикацией</w:t>
      </w:r>
      <w:r w:rsidRPr="00EF4D89">
        <w:rPr>
          <w:b/>
          <w:bCs/>
          <w:i/>
          <w:sz w:val="22"/>
          <w:szCs w:val="22"/>
          <w:highlight w:val="yellow"/>
        </w:rPr>
        <w:t xml:space="preserve"> данной Методики ДРиФС в состав</w:t>
      </w:r>
      <w:r>
        <w:rPr>
          <w:b/>
          <w:bCs/>
          <w:i/>
          <w:sz w:val="22"/>
          <w:szCs w:val="22"/>
          <w:highlight w:val="yellow"/>
        </w:rPr>
        <w:t>е</w:t>
      </w:r>
      <w:r w:rsidRPr="00EF4D89">
        <w:rPr>
          <w:b/>
          <w:bCs/>
          <w:i/>
          <w:sz w:val="22"/>
          <w:szCs w:val="22"/>
          <w:highlight w:val="yellow"/>
        </w:rPr>
        <w:t xml:space="preserve"> Документации о закупке сноску 5 необходимо удалить.</w:t>
      </w:r>
      <w:r w:rsidRPr="00EF4D89">
        <w:rPr>
          <w:b/>
          <w:bCs/>
          <w:i/>
          <w:sz w:val="22"/>
          <w:szCs w:val="22"/>
        </w:rPr>
        <w:t>]</w:t>
      </w:r>
    </w:p>
    <w:p w14:paraId="2791B412" w14:textId="5C64DEDA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C123E1">
        <w:rPr>
          <w:rFonts w:eastAsia="Times New Roman"/>
          <w:i/>
          <w:snapToGrid w:val="0"/>
          <w:szCs w:val="26"/>
          <w:shd w:val="clear" w:color="auto" w:fill="FFFF99"/>
          <w:lang w:eastAsia="ru-RU"/>
        </w:rPr>
        <w:t xml:space="preserve"> </w:t>
      </w:r>
    </w:p>
    <w:p w14:paraId="1BB5EC69" w14:textId="77777777" w:rsidR="000A7205" w:rsidRDefault="00513524" w:rsidP="00513524">
      <w:pPr>
        <w:pStyle w:val="11"/>
      </w:pPr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lastRenderedPageBreak/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01AD1AC1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D44B4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D44B4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lastRenderedPageBreak/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D44B4A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r w:rsidRPr="000E3801">
        <w:t>Порядок расчета периода оборота дебиторской задолженности</w:t>
      </w:r>
      <w:bookmarkEnd w:id="54"/>
      <w:bookmarkEnd w:id="55"/>
    </w:p>
    <w:p w14:paraId="2ADBEF02" w14:textId="77777777" w:rsidR="001B4B32" w:rsidRDefault="001B4B32" w:rsidP="001B4B32">
      <w:pPr>
        <w:pStyle w:val="111"/>
      </w:pPr>
      <w:bookmarkStart w:id="56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6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1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7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8" w:name="_Toc25849123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7"/>
      <w:bookmarkEnd w:id="58"/>
    </w:p>
    <w:p w14:paraId="024A6DC6" w14:textId="77777777" w:rsidR="000A7205" w:rsidRDefault="000A7205" w:rsidP="000C4E70">
      <w:pPr>
        <w:pStyle w:val="111"/>
      </w:pPr>
      <w:bookmarkStart w:id="59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9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</m:den>
        </m:f>
      </m:oMath>
    </w:p>
    <w:p w14:paraId="77C2EB13" w14:textId="77777777" w:rsidR="00DD70C8" w:rsidRDefault="00F75F1D" w:rsidP="00CE72E9">
      <w:pPr>
        <w:pStyle w:val="111"/>
      </w:pPr>
      <w:bookmarkStart w:id="60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1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0"/>
      <w:bookmarkEnd w:id="61"/>
    </w:p>
    <w:p w14:paraId="0D58E3BB" w14:textId="77777777" w:rsidR="000A7205" w:rsidRDefault="000C4E70" w:rsidP="000C4E70">
      <w:pPr>
        <w:pStyle w:val="111"/>
      </w:pPr>
      <w:bookmarkStart w:id="62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2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77777777" w:rsidR="007C4AC9" w:rsidRPr="00723E9B" w:rsidRDefault="00D44B4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4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43A2E6ED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63" w:name="_Ref456627819"/>
      <w:r>
        <w:t>где:</w:t>
      </w:r>
    </w:p>
    <w:p w14:paraId="5B81EBEF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224527D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6"/>
        </m:r>
      </m:oMath>
    </w:p>
    <w:p w14:paraId="5216FC50" w14:textId="77777777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4" w:name="_Ref466276214"/>
      <w:bookmarkStart w:id="65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3"/>
      <w:bookmarkEnd w:id="64"/>
      <w:bookmarkEnd w:id="65"/>
    </w:p>
    <w:p w14:paraId="11537DA3" w14:textId="77777777" w:rsidR="00511AAB" w:rsidRDefault="000C4E70" w:rsidP="000C4E70">
      <w:pPr>
        <w:pStyle w:val="111"/>
      </w:pPr>
      <w:bookmarkStart w:id="66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6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D44B4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67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68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7"/>
      <w:bookmarkEnd w:id="68"/>
    </w:p>
    <w:p w14:paraId="07F508DE" w14:textId="77777777" w:rsidR="000A7205" w:rsidRDefault="000A7205" w:rsidP="008E7774">
      <w:pPr>
        <w:pStyle w:val="111"/>
      </w:pPr>
      <w:bookmarkStart w:id="69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9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D44B4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</w:t>
      </w:r>
      <w:r>
        <w:lastRenderedPageBreak/>
        <w:t xml:space="preserve">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0" w:name="_Ref456627836"/>
      <w:bookmarkStart w:id="71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0"/>
      <w:bookmarkEnd w:id="71"/>
    </w:p>
    <w:p w14:paraId="30ADB76F" w14:textId="77777777" w:rsidR="009E0782" w:rsidRDefault="00223C36" w:rsidP="009E0782">
      <w:pPr>
        <w:pStyle w:val="111"/>
      </w:pPr>
      <w:bookmarkStart w:id="72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2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D44B4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18E1A140" w14:textId="77777777"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14:paraId="22F3C70E" w14:textId="77777777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3" w:name="_Ref456627844"/>
      <w:bookmarkStart w:id="74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3"/>
      <w:bookmarkEnd w:id="74"/>
    </w:p>
    <w:p w14:paraId="06FCF6E7" w14:textId="77777777" w:rsidR="009E0782" w:rsidRPr="00F649A3" w:rsidRDefault="00223C36" w:rsidP="009E0782">
      <w:pPr>
        <w:pStyle w:val="111"/>
      </w:pPr>
      <w:bookmarkStart w:id="75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5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D44B4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2E8C1A0B" w14:textId="77777777"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14:paraId="4FCFE805" w14:textId="77777777"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76" w:name="_Toc469414192"/>
      <w:bookmarkStart w:id="77" w:name="_Toc469414193"/>
      <w:bookmarkStart w:id="78" w:name="_Toc469414194"/>
      <w:bookmarkStart w:id="79" w:name="_Toc469414195"/>
      <w:bookmarkStart w:id="80" w:name="_Toc469414196"/>
      <w:bookmarkStart w:id="81" w:name="_Toc469414197"/>
      <w:bookmarkStart w:id="82" w:name="_Toc25849129"/>
      <w:bookmarkEnd w:id="76"/>
      <w:bookmarkEnd w:id="77"/>
      <w:bookmarkEnd w:id="78"/>
      <w:bookmarkEnd w:id="79"/>
      <w:bookmarkEnd w:id="80"/>
      <w:bookmarkEnd w:id="81"/>
      <w:r>
        <w:lastRenderedPageBreak/>
        <w:t xml:space="preserve">Проверка </w:t>
      </w:r>
      <w:r w:rsidR="00A04FF5">
        <w:t>К</w:t>
      </w:r>
      <w:r>
        <w:t>оллективного участника закупки</w:t>
      </w:r>
      <w:bookmarkEnd w:id="82"/>
    </w:p>
    <w:p w14:paraId="34463C39" w14:textId="77777777" w:rsidR="00F131C0" w:rsidRDefault="00F131C0" w:rsidP="00F131C0">
      <w:pPr>
        <w:pStyle w:val="11"/>
      </w:pPr>
      <w:bookmarkStart w:id="83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3"/>
    </w:p>
    <w:p w14:paraId="05811A5F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7E075AC" w14:textId="77777777"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>, согласно документу заявки «План распределения объемов поставки продукции внутри Коллективного участника», либо аналогичного по смыслу документа заявки.</w:t>
      </w:r>
    </w:p>
    <w:p w14:paraId="790F3267" w14:textId="77777777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4" w:name="_Ref1398769"/>
      <w:bookmarkStart w:id="85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4"/>
      <w:r w:rsidR="00AF5D23">
        <w:rPr>
          <w:rStyle w:val="af2"/>
        </w:rPr>
        <w:footnoteReference w:id="34"/>
      </w:r>
      <w:bookmarkEnd w:id="85"/>
    </w:p>
    <w:p w14:paraId="40F62D0F" w14:textId="77777777" w:rsidR="001209DF" w:rsidRDefault="001209DF" w:rsidP="00833EFC">
      <w:pPr>
        <w:pStyle w:val="11"/>
      </w:pPr>
      <w:bookmarkStart w:id="86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6"/>
    </w:p>
    <w:p w14:paraId="3F2B7237" w14:textId="77777777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7C67ACE8" w14:textId="77777777"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14:paraId="30613805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87" w:name="_Toc25849133"/>
      <w:r>
        <w:t>Особенности проверки привлекаемых субподрядчиков</w:t>
      </w:r>
      <w:bookmarkEnd w:id="87"/>
    </w:p>
    <w:p w14:paraId="7A40BC54" w14:textId="77777777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2085CAE5" w14:textId="77777777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 xml:space="preserve">проверяется по каждому ограничивающему фактору, установленному в документации о закупке из </w:t>
      </w:r>
      <w:r w:rsidR="001209DF">
        <w:lastRenderedPageBreak/>
        <w:t>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01CCAABB" w14:textId="77777777"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r w:rsidR="00AF5D23">
        <w:fldChar w:fldCharType="begin"/>
      </w:r>
      <w:r w:rsidR="00AF5D23">
        <w:instrText xml:space="preserve"> REF _Ref456629409 \w \h  \* MERGEFORMAT </w:instrText>
      </w:r>
      <w:r w:rsidR="00AF5D23">
        <w:fldChar w:fldCharType="separate"/>
      </w:r>
      <w:r w:rsidR="00AF5D23">
        <w:t>2.6.3</w:t>
      </w:r>
      <w:r w:rsidR="00AF5D23">
        <w:fldChar w:fldCharType="end"/>
      </w:r>
      <w:r w:rsidR="00AF5D23">
        <w:fldChar w:fldCharType="begin"/>
      </w:r>
      <w:r w:rsidR="00AF5D23">
        <w:instrText xml:space="preserve"> REF _Ref456629415 \n \h  \* MERGEFORMAT </w:instrText>
      </w:r>
      <w:r w:rsidR="00AF5D23">
        <w:fldChar w:fldCharType="separate"/>
      </w:r>
      <w:r w:rsidR="00AF5D23">
        <w:t>(д)</w:t>
      </w:r>
      <w:r w:rsidR="00AF5D23">
        <w:fldChar w:fldCharType="end"/>
      </w:r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14:paraId="23BE721F" w14:textId="77777777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28689B8B" w:rsidR="002E4FDF" w:rsidRPr="0034634F" w:rsidRDefault="00CB631A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 w14:anchorId="67564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4.75pt" o:ole="">
            <v:imagedata r:id="rId12" o:title=""/>
          </v:shape>
          <o:OLEObject Type="Embed" ProgID="Excel.Sheet.12" ShapeID="_x0000_i1025" DrawAspect="Icon" ObjectID="_1678173735" r:id="rId13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3443" w14:textId="77777777" w:rsidR="00D44B4A" w:rsidRDefault="00D44B4A" w:rsidP="00FA2307">
      <w:pPr>
        <w:spacing w:before="0" w:line="240" w:lineRule="auto"/>
      </w:pPr>
      <w:r>
        <w:separator/>
      </w:r>
    </w:p>
  </w:endnote>
  <w:endnote w:type="continuationSeparator" w:id="0">
    <w:p w14:paraId="61869326" w14:textId="77777777" w:rsidR="00D44B4A" w:rsidRDefault="00D44B4A" w:rsidP="00FA2307">
      <w:pPr>
        <w:spacing w:before="0" w:line="240" w:lineRule="auto"/>
      </w:pPr>
      <w:r>
        <w:continuationSeparator/>
      </w:r>
    </w:p>
  </w:endnote>
  <w:endnote w:type="continuationNotice" w:id="1">
    <w:p w14:paraId="4E18BA11" w14:textId="77777777" w:rsidR="00D44B4A" w:rsidRDefault="00D44B4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1D270D0A" w:rsidR="00D4614E" w:rsidRPr="00285F7D" w:rsidRDefault="00D4614E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12B8E">
          <w:rPr>
            <w:noProof/>
            <w:sz w:val="22"/>
            <w:szCs w:val="22"/>
          </w:rPr>
          <w:t>21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D4614E" w:rsidRPr="00285F7D" w:rsidRDefault="00D4614E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A82F" w14:textId="77777777" w:rsidR="00D44B4A" w:rsidRDefault="00D44B4A" w:rsidP="00FA2307">
      <w:pPr>
        <w:spacing w:before="0" w:line="240" w:lineRule="auto"/>
      </w:pPr>
      <w:r>
        <w:separator/>
      </w:r>
    </w:p>
  </w:footnote>
  <w:footnote w:type="continuationSeparator" w:id="0">
    <w:p w14:paraId="3705FDEC" w14:textId="77777777" w:rsidR="00D44B4A" w:rsidRDefault="00D44B4A" w:rsidP="00FA2307">
      <w:pPr>
        <w:spacing w:before="0" w:line="240" w:lineRule="auto"/>
      </w:pPr>
      <w:r>
        <w:continuationSeparator/>
      </w:r>
    </w:p>
  </w:footnote>
  <w:footnote w:type="continuationNotice" w:id="1">
    <w:p w14:paraId="03877906" w14:textId="77777777" w:rsidR="00D44B4A" w:rsidRDefault="00D44B4A">
      <w:pPr>
        <w:spacing w:before="0" w:line="240" w:lineRule="auto"/>
      </w:pPr>
    </w:p>
  </w:footnote>
  <w:footnote w:id="2">
    <w:p w14:paraId="158FE0C1" w14:textId="77777777" w:rsidR="00D4614E" w:rsidRPr="00A2368C" w:rsidRDefault="00D4614E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4BAE0941" w14:textId="77777777" w:rsidR="00D4614E" w:rsidRPr="00F65F12" w:rsidRDefault="00D4614E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6EA5E4D7" w14:textId="77777777" w:rsidR="00D4614E" w:rsidRPr="00F92389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6D491153" w14:textId="77777777" w:rsidR="00D4614E" w:rsidRPr="005565CE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0CE29352" w14:textId="489D69D1" w:rsidR="00D4614E" w:rsidRPr="0006409B" w:rsidRDefault="00D4614E" w:rsidP="0006409B">
      <w:pPr>
        <w:pStyle w:val="af0"/>
        <w:shd w:val="clear" w:color="auto" w:fill="FFFFCC"/>
        <w:rPr>
          <w:rFonts w:ascii="Times New Roman" w:hAnsi="Times New Roman"/>
          <w:i/>
          <w:sz w:val="22"/>
          <w:szCs w:val="22"/>
          <w:highlight w:val="yellow"/>
        </w:rPr>
      </w:pPr>
      <w:r w:rsidRPr="0006409B">
        <w:rPr>
          <w:rStyle w:val="af2"/>
          <w:highlight w:val="yellow"/>
        </w:rPr>
        <w:footnoteRef/>
      </w:r>
      <w:r w:rsidRPr="0006409B">
        <w:rPr>
          <w:highlight w:val="yellow"/>
        </w:rPr>
        <w:t xml:space="preserve">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ЦЗК вправе принять решение о снижении нижней границы значения итоговой оценки финансовой устойчивости при проведении закупок продукции по определенным приказом Общества категориям. </w:t>
      </w:r>
    </w:p>
    <w:p w14:paraId="132BF200" w14:textId="22BAB287" w:rsidR="00D4614E" w:rsidRPr="00EF4D89" w:rsidRDefault="00D4614E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ВНИМАНИЕ: При наличии такого решения ЦЗК необходимо скорректировать соответствующим образом показатели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в данной Методике ДРиФС и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 Приложении к Методике ДРиФС - Вспомогательный инструмент расчета на листе «Расчет показателей». Для осуществления корректировки в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Приложении к Методике ДРиФС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>необходимо обратиться в УРиМС ДЗ</w:t>
      </w:r>
      <w:r w:rsidRPr="00EF4D89">
        <w:rPr>
          <w:rFonts w:ascii="Times New Roman" w:hAnsi="Times New Roman"/>
          <w:b/>
          <w:bCs/>
          <w:i/>
          <w:sz w:val="22"/>
          <w:szCs w:val="22"/>
          <w:highlight w:val="yellow"/>
        </w:rPr>
        <w:t>.</w:t>
      </w:r>
    </w:p>
  </w:footnote>
  <w:footnote w:id="7">
    <w:p w14:paraId="1CDDE262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8">
    <w:p w14:paraId="07428C37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9">
    <w:p w14:paraId="1F09DFD1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0">
    <w:p w14:paraId="58DC13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1">
    <w:p w14:paraId="0DE495F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2">
    <w:p w14:paraId="1559689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3">
    <w:p w14:paraId="220D3BA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4">
    <w:p w14:paraId="70B51E65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5">
    <w:p w14:paraId="6F5C0E83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6">
    <w:p w14:paraId="39A5A150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7">
    <w:p w14:paraId="222A5F4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8">
    <w:p w14:paraId="4E9682EF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9">
    <w:p w14:paraId="7F29D79F" w14:textId="77777777" w:rsidR="00D4614E" w:rsidRPr="00840CB9" w:rsidRDefault="00D4614E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0">
    <w:p w14:paraId="0341F5F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1">
    <w:p w14:paraId="14849F6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14:paraId="3EE2FFA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3">
    <w:p w14:paraId="25761849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4">
    <w:p w14:paraId="3E8E7CF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5">
    <w:p w14:paraId="7B5CDE6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4CD0AF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392B18E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D4614E" w:rsidRPr="00C67910" w:rsidRDefault="00D4614E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D4614E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2492228C" w14:textId="77777777" w:rsidR="00D4614E" w:rsidRPr="00285F7D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D4614E" w:rsidRPr="00285F7D" w:rsidRDefault="00D4614E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E774A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148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4F98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2EB3"/>
    <w:rsid w:val="0066405A"/>
    <w:rsid w:val="0066565B"/>
    <w:rsid w:val="00666015"/>
    <w:rsid w:val="00670B16"/>
    <w:rsid w:val="00671D27"/>
    <w:rsid w:val="0067227E"/>
    <w:rsid w:val="00681035"/>
    <w:rsid w:val="00681B46"/>
    <w:rsid w:val="00683768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1F6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3D9"/>
    <w:rsid w:val="008C39F7"/>
    <w:rsid w:val="008D1404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6FA3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1D7C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042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44B4A"/>
    <w:rsid w:val="00D4614E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4A8C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FE3"/>
    <w:rsid w:val="00EF6A0F"/>
    <w:rsid w:val="00F003FE"/>
    <w:rsid w:val="00F00853"/>
    <w:rsid w:val="00F00899"/>
    <w:rsid w:val="00F04A4A"/>
    <w:rsid w:val="00F04FE2"/>
    <w:rsid w:val="00F05283"/>
    <w:rsid w:val="00F06372"/>
    <w:rsid w:val="00F072D2"/>
    <w:rsid w:val="00F12B56"/>
    <w:rsid w:val="00F12B8E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0DC5-DCAA-4EBB-8015-CFED80E4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6297</Words>
  <Characters>35896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6</cp:revision>
  <cp:lastPrinted>2019-01-16T07:24:00Z</cp:lastPrinted>
  <dcterms:created xsi:type="dcterms:W3CDTF">2020-11-03T09:04:00Z</dcterms:created>
  <dcterms:modified xsi:type="dcterms:W3CDTF">2021-03-25T07:36:00Z</dcterms:modified>
</cp:coreProperties>
</file>